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5A3E45FD" w:rsidR="0065432D" w:rsidRPr="00A7366F" w:rsidRDefault="0065432D" w:rsidP="0065432D">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sidR="00BB04A8">
        <w:rPr>
          <w:rFonts w:ascii="Calibri" w:eastAsia="PMingLiU" w:hAnsi="Calibri" w:cs="Calibri"/>
          <w:sz w:val="24"/>
          <w:szCs w:val="24"/>
          <w:lang w:eastAsia="ja-JP"/>
        </w:rPr>
        <w:t>6</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sidR="00816DD4">
        <w:rPr>
          <w:rFonts w:ascii="Calibri" w:eastAsia="PMingLiU" w:hAnsi="Calibri" w:cs="Calibri"/>
          <w:sz w:val="24"/>
          <w:szCs w:val="24"/>
          <w:lang w:eastAsia="ja-JP"/>
        </w:rPr>
        <w:t>10034</w:t>
      </w:r>
      <w:bookmarkStart w:id="0" w:name="_GoBack"/>
      <w:bookmarkEnd w:id="0"/>
    </w:p>
    <w:p w14:paraId="4B5F968D" w14:textId="3C0E2340" w:rsidR="0065432D" w:rsidRPr="00A7366F" w:rsidRDefault="0065432D" w:rsidP="0065432D">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BB04A8" w:rsidRPr="00BB04A8">
        <w:rPr>
          <w:rFonts w:asciiTheme="minorHAnsi" w:eastAsiaTheme="minorEastAsia" w:hAnsiTheme="minorHAnsi" w:cstheme="minorBidi"/>
          <w:noProof w:val="0"/>
          <w:sz w:val="22"/>
          <w:szCs w:val="22"/>
          <w:lang w:eastAsia="zh-CN"/>
        </w:rPr>
        <w:t xml:space="preserve">17 Aug. – 28 Aug.,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3C018682"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9528A4">
        <w:rPr>
          <w:rFonts w:cs="Arial"/>
          <w:b/>
          <w:bCs/>
        </w:rPr>
        <w:t>4.7.3</w:t>
      </w:r>
    </w:p>
    <w:p w14:paraId="68E291BE" w14:textId="77777777"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3EAE6E6B" w:rsidR="00174EC2" w:rsidRDefault="0034111C" w:rsidP="007A4FCF">
      <w:pPr>
        <w:ind w:left="1985" w:hanging="1985"/>
        <w:rPr>
          <w:rFonts w:cs="Arial"/>
          <w:b/>
          <w:bCs/>
        </w:rPr>
      </w:pPr>
      <w:r w:rsidRPr="000C45FD">
        <w:rPr>
          <w:rFonts w:cs="Arial"/>
          <w:b/>
          <w:bCs/>
        </w:rPr>
        <w:t>Title:</w:t>
      </w:r>
      <w:r w:rsidRPr="000C45FD">
        <w:rPr>
          <w:rFonts w:cs="Arial"/>
          <w:b/>
          <w:bCs/>
        </w:rPr>
        <w:tab/>
      </w:r>
      <w:r w:rsidR="004E1814">
        <w:rPr>
          <w:rFonts w:cs="Arial"/>
          <w:b/>
          <w:bCs/>
        </w:rPr>
        <w:t>Remaining issues on signalling characteristics in R15</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740C0AF" w14:textId="08612809"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w:t>
      </w:r>
      <w:r w:rsidR="00352084">
        <w:rPr>
          <w:rFonts w:asciiTheme="minorHAnsi" w:eastAsiaTheme="minorEastAsia" w:hAnsiTheme="minorHAnsi" w:cstheme="minorBidi"/>
          <w:color w:val="auto"/>
          <w:sz w:val="22"/>
          <w:szCs w:val="22"/>
        </w:rPr>
        <w:t xml:space="preserve">F </w:t>
      </w:r>
      <w:r w:rsidR="00CA75E5">
        <w:rPr>
          <w:rFonts w:asciiTheme="minorHAnsi" w:eastAsiaTheme="minorEastAsia" w:hAnsiTheme="minorHAnsi" w:cstheme="minorBidi"/>
          <w:color w:val="auto"/>
          <w:sz w:val="22"/>
          <w:szCs w:val="22"/>
        </w:rPr>
        <w:t xml:space="preserve">[1] was agreed </w:t>
      </w:r>
      <w:r w:rsidR="00352084">
        <w:rPr>
          <w:rFonts w:asciiTheme="minorHAnsi" w:eastAsiaTheme="minorEastAsia" w:hAnsiTheme="minorHAnsi" w:cstheme="minorBidi"/>
          <w:color w:val="auto"/>
          <w:sz w:val="22"/>
          <w:szCs w:val="22"/>
        </w:rPr>
        <w:t>in last meeting</w:t>
      </w:r>
      <w:r w:rsidR="004E1814">
        <w:rPr>
          <w:rFonts w:asciiTheme="minorHAnsi" w:eastAsiaTheme="minorEastAsia" w:hAnsiTheme="minorHAnsi" w:cstheme="minorBidi"/>
          <w:color w:val="auto"/>
          <w:sz w:val="22"/>
          <w:szCs w:val="22"/>
        </w:rPr>
        <w:t xml:space="preserve"> for the remaining issues on </w:t>
      </w:r>
      <w:r w:rsidR="004E1814" w:rsidRPr="004E1814">
        <w:rPr>
          <w:rFonts w:asciiTheme="minorHAnsi" w:eastAsiaTheme="minorEastAsia" w:hAnsiTheme="minorHAnsi" w:cstheme="minorBidi"/>
          <w:color w:val="auto"/>
          <w:sz w:val="22"/>
          <w:szCs w:val="22"/>
        </w:rPr>
        <w:t xml:space="preserve">signalling characteristics in </w:t>
      </w:r>
      <w:r w:rsidR="004E1814">
        <w:rPr>
          <w:rFonts w:asciiTheme="minorHAnsi" w:eastAsiaTheme="minorEastAsia" w:hAnsiTheme="minorHAnsi" w:cstheme="minorBidi"/>
          <w:color w:val="auto"/>
          <w:sz w:val="22"/>
          <w:szCs w:val="22"/>
        </w:rPr>
        <w:t>R15</w:t>
      </w:r>
      <w:r w:rsidR="00352084">
        <w:rPr>
          <w:rFonts w:asciiTheme="minorHAnsi" w:eastAsiaTheme="minorEastAsia" w:hAnsiTheme="minorHAnsi" w:cstheme="minorBidi"/>
          <w:color w:val="auto"/>
          <w:sz w:val="22"/>
          <w:szCs w:val="22"/>
        </w:rPr>
        <w:t xml:space="preserve">, </w:t>
      </w:r>
      <w:r w:rsidR="004E1814">
        <w:rPr>
          <w:rFonts w:asciiTheme="minorHAnsi" w:eastAsiaTheme="minorEastAsia" w:hAnsiTheme="minorHAnsi" w:cstheme="minorBidi"/>
          <w:color w:val="auto"/>
          <w:sz w:val="22"/>
          <w:szCs w:val="22"/>
        </w:rPr>
        <w:t xml:space="preserve">some of </w:t>
      </w:r>
      <w:r w:rsidR="00C741CF">
        <w:rPr>
          <w:rFonts w:asciiTheme="minorHAnsi" w:eastAsiaTheme="minorEastAsia" w:hAnsiTheme="minorHAnsi" w:cstheme="minorBidi" w:hint="eastAsia"/>
          <w:color w:val="auto"/>
          <w:sz w:val="22"/>
          <w:szCs w:val="22"/>
        </w:rPr>
        <w:t>the open issues are</w:t>
      </w:r>
      <w:r w:rsidR="00352084">
        <w:rPr>
          <w:rFonts w:asciiTheme="minorHAnsi" w:eastAsiaTheme="minorEastAsia" w:hAnsiTheme="minorHAnsi" w:cstheme="minorBidi"/>
          <w:color w:val="auto"/>
          <w:sz w:val="22"/>
          <w:szCs w:val="22"/>
        </w:rPr>
        <w:t xml:space="preserve"> captured below</w:t>
      </w:r>
      <w:r w:rsidR="00CA75E5">
        <w:rPr>
          <w:rFonts w:asciiTheme="minorHAnsi" w:eastAsiaTheme="minorEastAsia" w:hAnsiTheme="minorHAnsi" w:cstheme="minorBidi"/>
          <w:color w:val="auto"/>
          <w:sz w:val="22"/>
          <w:szCs w:val="22"/>
        </w:rPr>
        <w:t xml:space="preserve">. </w:t>
      </w:r>
    </w:p>
    <w:tbl>
      <w:tblPr>
        <w:tblStyle w:val="af4"/>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7738358A" w14:textId="331AFDC5" w:rsidR="004E1814" w:rsidRDefault="004E1814" w:rsidP="004E1814">
            <w:pPr>
              <w:pStyle w:val="Default"/>
              <w:numPr>
                <w:ilvl w:val="0"/>
                <w:numId w:val="16"/>
              </w:numPr>
              <w:jc w:val="both"/>
              <w:rPr>
                <w:rFonts w:asciiTheme="minorHAnsi" w:eastAsiaTheme="minorEastAsia" w:hAnsiTheme="minorHAnsi" w:cstheme="minorBidi"/>
                <w:b/>
                <w:bCs/>
                <w:color w:val="auto"/>
                <w:sz w:val="18"/>
                <w:szCs w:val="22"/>
              </w:rPr>
            </w:pPr>
            <w:r>
              <w:rPr>
                <w:rFonts w:asciiTheme="minorHAnsi" w:eastAsiaTheme="minorEastAsia" w:hAnsiTheme="minorHAnsi" w:cstheme="minorBidi"/>
                <w:b/>
                <w:bCs/>
                <w:color w:val="auto"/>
                <w:sz w:val="18"/>
                <w:szCs w:val="22"/>
              </w:rPr>
              <w:t xml:space="preserve">Active </w:t>
            </w:r>
            <w:r w:rsidRPr="004E1814">
              <w:rPr>
                <w:rFonts w:asciiTheme="minorHAnsi" w:eastAsiaTheme="minorEastAsia" w:hAnsiTheme="minorHAnsi" w:cstheme="minorBidi"/>
                <w:b/>
                <w:bCs/>
                <w:color w:val="auto"/>
                <w:sz w:val="18"/>
                <w:szCs w:val="22"/>
              </w:rPr>
              <w:t xml:space="preserve">TCI State Switch </w:t>
            </w:r>
          </w:p>
          <w:p w14:paraId="37BA4D81" w14:textId="77777777" w:rsidR="0080574B" w:rsidRPr="004E1814" w:rsidRDefault="00B31885" w:rsidP="004E1814">
            <w:pPr>
              <w:pStyle w:val="Default"/>
              <w:ind w:left="360"/>
              <w:jc w:val="both"/>
              <w:rPr>
                <w:rFonts w:asciiTheme="minorHAnsi" w:hAnsiTheme="minorHAnsi" w:cstheme="minorHAnsi"/>
                <w:iCs/>
                <w:sz w:val="18"/>
              </w:rPr>
            </w:pPr>
            <w:r w:rsidRPr="004E1814">
              <w:rPr>
                <w:rFonts w:asciiTheme="minorHAnsi" w:hAnsiTheme="minorHAnsi" w:cstheme="minorHAnsi"/>
                <w:iCs/>
                <w:sz w:val="18"/>
                <w:u w:val="single"/>
              </w:rPr>
              <w:t>Issue 5-2-1</w:t>
            </w:r>
            <w:r w:rsidRPr="004E1814">
              <w:rPr>
                <w:rFonts w:asciiTheme="minorHAnsi" w:hAnsiTheme="minorHAnsi" w:cstheme="minorHAnsi"/>
                <w:iCs/>
                <w:sz w:val="18"/>
              </w:rPr>
              <w:t xml:space="preserve">: </w:t>
            </w:r>
            <w:r w:rsidRPr="004E1814">
              <w:rPr>
                <w:rFonts w:asciiTheme="minorHAnsi" w:hAnsiTheme="minorHAnsi" w:cstheme="minorHAnsi"/>
                <w:iCs/>
                <w:sz w:val="18"/>
                <w:lang w:val="en-GB"/>
              </w:rPr>
              <w:t>Remove the extra term TO</w:t>
            </w:r>
            <w:r w:rsidRPr="004E1814">
              <w:rPr>
                <w:rFonts w:asciiTheme="minorHAnsi" w:hAnsiTheme="minorHAnsi" w:cstheme="minorHAnsi"/>
                <w:iCs/>
                <w:sz w:val="18"/>
                <w:vertAlign w:val="subscript"/>
                <w:lang w:val="en-GB"/>
              </w:rPr>
              <w:t>k</w:t>
            </w:r>
            <w:r w:rsidRPr="004E1814">
              <w:rPr>
                <w:rFonts w:asciiTheme="minorHAnsi" w:hAnsiTheme="minorHAnsi" w:cstheme="minorHAnsi"/>
                <w:iCs/>
                <w:sz w:val="18"/>
                <w:lang w:val="en-GB"/>
              </w:rPr>
              <w:t>*(T</w:t>
            </w:r>
            <w:r w:rsidRPr="004E1814">
              <w:rPr>
                <w:rFonts w:asciiTheme="minorHAnsi" w:hAnsiTheme="minorHAnsi" w:cstheme="minorHAnsi"/>
                <w:iCs/>
                <w:sz w:val="18"/>
                <w:vertAlign w:val="subscript"/>
                <w:lang w:val="en-GB"/>
              </w:rPr>
              <w:t>first-SSB</w:t>
            </w:r>
            <w:r w:rsidRPr="004E1814">
              <w:rPr>
                <w:rFonts w:asciiTheme="minorHAnsi" w:hAnsiTheme="minorHAnsi" w:cstheme="minorHAnsi"/>
                <w:iCs/>
                <w:sz w:val="18"/>
                <w:lang w:val="en-GB"/>
              </w:rPr>
              <w:t>) for receiving on the old state</w:t>
            </w:r>
            <w:r w:rsidRPr="004E1814">
              <w:rPr>
                <w:rFonts w:asciiTheme="minorHAnsi" w:hAnsiTheme="minorHAnsi" w:cstheme="minorHAnsi"/>
                <w:iCs/>
                <w:sz w:val="18"/>
              </w:rPr>
              <w:t xml:space="preserve"> </w:t>
            </w:r>
          </w:p>
          <w:p w14:paraId="013C131A" w14:textId="19C1BCA6" w:rsidR="0080574B" w:rsidRPr="004E1814" w:rsidRDefault="00B31885" w:rsidP="004E1814">
            <w:pPr>
              <w:pStyle w:val="Default"/>
              <w:numPr>
                <w:ilvl w:val="1"/>
                <w:numId w:val="16"/>
              </w:numPr>
              <w:jc w:val="both"/>
              <w:rPr>
                <w:rFonts w:asciiTheme="minorHAnsi" w:hAnsiTheme="minorHAnsi" w:cstheme="minorHAnsi"/>
                <w:iCs/>
                <w:sz w:val="18"/>
              </w:rPr>
            </w:pPr>
            <w:r w:rsidRPr="004E1814">
              <w:rPr>
                <w:rFonts w:asciiTheme="minorHAnsi" w:hAnsiTheme="minorHAnsi" w:cstheme="minorHAnsi"/>
                <w:iCs/>
                <w:sz w:val="18"/>
              </w:rPr>
              <w:t>Agreement: The UE shall be able to receive PDCCH with the old TCI state until slot n + T</w:t>
            </w:r>
            <w:r w:rsidRPr="004E1814">
              <w:rPr>
                <w:rFonts w:asciiTheme="minorHAnsi" w:hAnsiTheme="minorHAnsi" w:cstheme="minorHAnsi"/>
                <w:iCs/>
                <w:sz w:val="18"/>
                <w:vertAlign w:val="subscript"/>
              </w:rPr>
              <w:t>HARQ</w:t>
            </w:r>
            <w:r w:rsidRPr="004E1814">
              <w:rPr>
                <w:rFonts w:asciiTheme="minorHAnsi" w:hAnsiTheme="minorHAnsi" w:cstheme="minorHAnsi"/>
                <w:iCs/>
                <w:sz w:val="18"/>
              </w:rPr>
              <w:t xml:space="preserve"> + 3*N</w:t>
            </w:r>
            <w:r w:rsidRPr="004E1814">
              <w:rPr>
                <w:rFonts w:asciiTheme="minorHAnsi" w:hAnsiTheme="minorHAnsi" w:cstheme="minorHAnsi"/>
                <w:iCs/>
                <w:sz w:val="18"/>
                <w:vertAlign w:val="subscript"/>
              </w:rPr>
              <w:t>slot</w:t>
            </w:r>
            <w:r w:rsidRPr="004E1814">
              <w:rPr>
                <w:rFonts w:asciiTheme="minorHAnsi" w:hAnsiTheme="minorHAnsi" w:cstheme="minorHAnsi"/>
                <w:iCs/>
                <w:sz w:val="18"/>
                <w:vertAlign w:val="superscript"/>
              </w:rPr>
              <w:t>subframe,u</w:t>
            </w:r>
            <w:r w:rsidRPr="004E1814">
              <w:rPr>
                <w:rFonts w:asciiTheme="minorHAnsi" w:hAnsiTheme="minorHAnsi" w:cstheme="minorHAnsi"/>
                <w:iCs/>
                <w:sz w:val="18"/>
              </w:rPr>
              <w:t xml:space="preserve">. </w:t>
            </w:r>
          </w:p>
          <w:p w14:paraId="78B579A0" w14:textId="77777777" w:rsidR="0080574B" w:rsidRDefault="00B31885" w:rsidP="004E1814">
            <w:pPr>
              <w:pStyle w:val="Default"/>
              <w:numPr>
                <w:ilvl w:val="2"/>
                <w:numId w:val="16"/>
              </w:numPr>
              <w:jc w:val="both"/>
              <w:rPr>
                <w:rFonts w:asciiTheme="minorHAnsi" w:hAnsiTheme="minorHAnsi" w:cstheme="minorHAnsi"/>
                <w:iCs/>
                <w:sz w:val="18"/>
              </w:rPr>
            </w:pPr>
            <w:r w:rsidRPr="004E1814">
              <w:rPr>
                <w:rFonts w:asciiTheme="minorHAnsi" w:hAnsiTheme="minorHAnsi" w:cstheme="minorHAnsi"/>
                <w:iCs/>
                <w:sz w:val="18"/>
              </w:rPr>
              <w:t>FFS on additional clarification: The UE is not required to receive with old or target TCI state from slot n+ + T</w:t>
            </w:r>
            <w:r w:rsidRPr="004E1814">
              <w:rPr>
                <w:rFonts w:asciiTheme="minorHAnsi" w:hAnsiTheme="minorHAnsi" w:cstheme="minorHAnsi"/>
                <w:iCs/>
                <w:sz w:val="18"/>
                <w:vertAlign w:val="subscript"/>
              </w:rPr>
              <w:t>HARQ</w:t>
            </w:r>
            <w:r w:rsidRPr="004E1814">
              <w:rPr>
                <w:rFonts w:asciiTheme="minorHAnsi" w:hAnsiTheme="minorHAnsi" w:cstheme="minorHAnsi"/>
                <w:iCs/>
                <w:sz w:val="18"/>
              </w:rPr>
              <w:t xml:space="preserve"> + 3*N</w:t>
            </w:r>
            <w:r w:rsidRPr="004E1814">
              <w:rPr>
                <w:rFonts w:asciiTheme="minorHAnsi" w:hAnsiTheme="minorHAnsi" w:cstheme="minorHAnsi"/>
                <w:iCs/>
                <w:sz w:val="18"/>
                <w:vertAlign w:val="subscript"/>
              </w:rPr>
              <w:t>slot</w:t>
            </w:r>
            <w:r w:rsidRPr="004E1814">
              <w:rPr>
                <w:rFonts w:asciiTheme="minorHAnsi" w:hAnsiTheme="minorHAnsi" w:cstheme="minorHAnsi"/>
                <w:iCs/>
                <w:sz w:val="18"/>
                <w:vertAlign w:val="superscript"/>
              </w:rPr>
              <w:t xml:space="preserve">subframe,u  </w:t>
            </w:r>
            <w:r w:rsidRPr="004E1814">
              <w:rPr>
                <w:rFonts w:asciiTheme="minorHAnsi" w:hAnsiTheme="minorHAnsi" w:cstheme="minorHAnsi"/>
                <w:iCs/>
                <w:sz w:val="18"/>
              </w:rPr>
              <w:t>+1 until the end of the switching delay.</w:t>
            </w:r>
          </w:p>
          <w:p w14:paraId="7DA492C9" w14:textId="77777777" w:rsidR="0080574B" w:rsidRPr="004E1814" w:rsidRDefault="00B31885" w:rsidP="004E1814">
            <w:pPr>
              <w:pStyle w:val="Default"/>
              <w:ind w:left="360"/>
              <w:jc w:val="both"/>
              <w:rPr>
                <w:rFonts w:asciiTheme="minorHAnsi" w:hAnsiTheme="minorHAnsi" w:cstheme="minorHAnsi"/>
                <w:iCs/>
                <w:sz w:val="18"/>
              </w:rPr>
            </w:pPr>
            <w:r w:rsidRPr="004E1814">
              <w:rPr>
                <w:rFonts w:asciiTheme="minorHAnsi" w:hAnsiTheme="minorHAnsi" w:cstheme="minorHAnsi"/>
                <w:iCs/>
                <w:sz w:val="18"/>
                <w:u w:val="single"/>
              </w:rPr>
              <w:t>Issue 5-2-2</w:t>
            </w:r>
            <w:r w:rsidRPr="004E1814">
              <w:rPr>
                <w:rFonts w:asciiTheme="minorHAnsi" w:hAnsiTheme="minorHAnsi" w:cstheme="minorHAnsi"/>
                <w:iCs/>
                <w:sz w:val="18"/>
              </w:rPr>
              <w:t xml:space="preserve">: </w:t>
            </w:r>
            <w:r w:rsidRPr="004E1814">
              <w:rPr>
                <w:rFonts w:asciiTheme="minorHAnsi" w:hAnsiTheme="minorHAnsi" w:cstheme="minorHAnsi"/>
                <w:iCs/>
                <w:sz w:val="18"/>
                <w:lang w:val="en-GB"/>
              </w:rPr>
              <w:t xml:space="preserve">UE Tx and RX restriction during RRC based TCI state switch </w:t>
            </w:r>
          </w:p>
          <w:p w14:paraId="2DA01B5D" w14:textId="77777777" w:rsidR="0080574B" w:rsidRPr="004E1814" w:rsidRDefault="00B31885" w:rsidP="004E1814">
            <w:pPr>
              <w:pStyle w:val="Default"/>
              <w:numPr>
                <w:ilvl w:val="1"/>
                <w:numId w:val="16"/>
              </w:numPr>
              <w:jc w:val="both"/>
              <w:rPr>
                <w:rFonts w:asciiTheme="minorHAnsi" w:hAnsiTheme="minorHAnsi" w:cstheme="minorHAnsi"/>
                <w:iCs/>
                <w:sz w:val="18"/>
              </w:rPr>
            </w:pPr>
            <w:r w:rsidRPr="004E1814">
              <w:rPr>
                <w:rFonts w:asciiTheme="minorHAnsi" w:hAnsiTheme="minorHAnsi" w:cstheme="minorHAnsi"/>
                <w:iCs/>
                <w:sz w:val="18"/>
                <w:lang w:val="en-GB"/>
              </w:rPr>
              <w:t>Option 1 : UE is not required to receive PDCCH/PDSCH/CSI-RS or transmit PUCCH/PUSCH from slot n + T</w:t>
            </w:r>
            <w:r w:rsidRPr="004E1814">
              <w:rPr>
                <w:rFonts w:asciiTheme="minorHAnsi" w:hAnsiTheme="minorHAnsi" w:cstheme="minorHAnsi"/>
                <w:iCs/>
                <w:sz w:val="18"/>
                <w:vertAlign w:val="subscript"/>
                <w:lang w:val="en-GB"/>
              </w:rPr>
              <w:t>HARQ</w:t>
            </w:r>
            <w:r w:rsidRPr="004E1814">
              <w:rPr>
                <w:rFonts w:asciiTheme="minorHAnsi" w:hAnsiTheme="minorHAnsi" w:cstheme="minorHAnsi"/>
                <w:iCs/>
                <w:sz w:val="18"/>
                <w:lang w:val="en-GB"/>
              </w:rPr>
              <w:t xml:space="preserve"> + 1 until the end of switching period.</w:t>
            </w:r>
          </w:p>
          <w:p w14:paraId="72467974" w14:textId="77777777" w:rsidR="0080574B" w:rsidRPr="004E1814" w:rsidRDefault="00B31885" w:rsidP="004E1814">
            <w:pPr>
              <w:pStyle w:val="Default"/>
              <w:numPr>
                <w:ilvl w:val="1"/>
                <w:numId w:val="16"/>
              </w:numPr>
              <w:jc w:val="both"/>
              <w:rPr>
                <w:rFonts w:asciiTheme="minorHAnsi" w:hAnsiTheme="minorHAnsi" w:cstheme="minorHAnsi"/>
                <w:iCs/>
                <w:sz w:val="18"/>
              </w:rPr>
            </w:pPr>
            <w:r w:rsidRPr="004E1814">
              <w:rPr>
                <w:rFonts w:asciiTheme="minorHAnsi" w:hAnsiTheme="minorHAnsi" w:cstheme="minorHAnsi"/>
                <w:iCs/>
                <w:sz w:val="18"/>
                <w:lang w:val="en-GB"/>
              </w:rPr>
              <w:t>Option 1a we can clarify in the current spec that UE is allowed to transmit HARQ during total switching delay time.</w:t>
            </w:r>
          </w:p>
          <w:p w14:paraId="248DF2D1" w14:textId="7D3A9BE6" w:rsidR="007A3D51" w:rsidRPr="00BC4A22" w:rsidRDefault="00B31885" w:rsidP="00661255">
            <w:pPr>
              <w:pStyle w:val="Default"/>
              <w:numPr>
                <w:ilvl w:val="1"/>
                <w:numId w:val="16"/>
              </w:numPr>
              <w:jc w:val="both"/>
              <w:rPr>
                <w:rFonts w:asciiTheme="minorHAnsi" w:eastAsiaTheme="minorEastAsia" w:hAnsiTheme="minorHAnsi" w:cstheme="minorBidi"/>
                <w:color w:val="auto"/>
                <w:sz w:val="20"/>
                <w:szCs w:val="22"/>
              </w:rPr>
            </w:pPr>
            <w:r w:rsidRPr="004E1814">
              <w:rPr>
                <w:rFonts w:asciiTheme="minorHAnsi" w:hAnsiTheme="minorHAnsi" w:cstheme="minorHAnsi"/>
                <w:iCs/>
                <w:sz w:val="18"/>
                <w:lang w:val="en-GB"/>
              </w:rPr>
              <w:t>Option 2: no change</w:t>
            </w:r>
          </w:p>
        </w:tc>
      </w:tr>
    </w:tbl>
    <w:p w14:paraId="5E7E7A98" w14:textId="5BB0693A"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t>
      </w:r>
      <w:r w:rsidR="00462ACC">
        <w:rPr>
          <w:rFonts w:asciiTheme="minorHAnsi" w:eastAsiaTheme="minorEastAsia" w:hAnsiTheme="minorHAnsi" w:cstheme="minorBidi"/>
          <w:color w:val="auto"/>
          <w:sz w:val="22"/>
          <w:szCs w:val="22"/>
        </w:rPr>
        <w:t>we provide our view</w:t>
      </w:r>
      <w:r w:rsidR="004E1814">
        <w:rPr>
          <w:rFonts w:asciiTheme="minorHAnsi" w:eastAsiaTheme="minorEastAsia" w:hAnsiTheme="minorHAnsi" w:cstheme="minorBidi"/>
          <w:color w:val="auto"/>
          <w:sz w:val="22"/>
          <w:szCs w:val="22"/>
        </w:rPr>
        <w:t>s</w:t>
      </w:r>
      <w:r w:rsidR="00462ACC">
        <w:rPr>
          <w:rFonts w:asciiTheme="minorHAnsi" w:eastAsiaTheme="minorEastAsia" w:hAnsiTheme="minorHAnsi" w:cstheme="minorBidi"/>
          <w:color w:val="auto"/>
          <w:sz w:val="22"/>
          <w:szCs w:val="22"/>
        </w:rPr>
        <w:t xml:space="preserve"> on </w:t>
      </w:r>
      <w:r w:rsidR="004E1814">
        <w:rPr>
          <w:rFonts w:asciiTheme="minorHAnsi" w:eastAsiaTheme="minorEastAsia" w:hAnsiTheme="minorHAnsi" w:cstheme="minorBidi"/>
          <w:color w:val="auto"/>
          <w:sz w:val="22"/>
          <w:szCs w:val="22"/>
        </w:rPr>
        <w:t>some</w:t>
      </w:r>
      <w:r w:rsidR="00462ACC">
        <w:rPr>
          <w:rFonts w:asciiTheme="minorHAnsi" w:eastAsiaTheme="minorEastAsia" w:hAnsiTheme="minorHAnsi" w:cstheme="minorBidi"/>
          <w:color w:val="auto"/>
          <w:sz w:val="22"/>
          <w:szCs w:val="22"/>
        </w:rPr>
        <w:t xml:space="preserve"> </w:t>
      </w:r>
      <w:r w:rsidR="004E1814">
        <w:rPr>
          <w:rFonts w:asciiTheme="minorHAnsi" w:eastAsiaTheme="minorEastAsia" w:hAnsiTheme="minorHAnsi" w:cstheme="minorBidi"/>
          <w:color w:val="auto"/>
          <w:sz w:val="22"/>
          <w:szCs w:val="22"/>
        </w:rPr>
        <w:t>remaining</w:t>
      </w:r>
      <w:r w:rsidR="00462ACC">
        <w:rPr>
          <w:rFonts w:asciiTheme="minorHAnsi" w:eastAsiaTheme="minorEastAsia" w:hAnsiTheme="minorHAnsi" w:cstheme="minorBidi"/>
          <w:color w:val="auto"/>
          <w:sz w:val="22"/>
          <w:szCs w:val="22"/>
        </w:rPr>
        <w:t xml:space="preserve"> issues</w:t>
      </w:r>
      <w:r w:rsidR="004E1814">
        <w:rPr>
          <w:rFonts w:asciiTheme="minorHAnsi" w:eastAsiaTheme="minorEastAsia" w:hAnsiTheme="minorHAnsi" w:cstheme="minorBidi"/>
          <w:color w:val="auto"/>
          <w:sz w:val="22"/>
          <w:szCs w:val="22"/>
        </w:rPr>
        <w:t xml:space="preserve"> in </w:t>
      </w:r>
      <w:r w:rsidR="004E1814" w:rsidRPr="004E1814">
        <w:rPr>
          <w:rFonts w:asciiTheme="minorHAnsi" w:eastAsiaTheme="minorEastAsia" w:hAnsiTheme="minorHAnsi" w:cstheme="minorBidi"/>
          <w:color w:val="auto"/>
          <w:sz w:val="22"/>
          <w:szCs w:val="22"/>
        </w:rPr>
        <w:t>signalling characteristics</w:t>
      </w:r>
      <w:r w:rsidR="00462ACC">
        <w:rPr>
          <w:rFonts w:asciiTheme="minorHAnsi" w:eastAsiaTheme="minorEastAsia" w:hAnsiTheme="minorHAnsi" w:cstheme="minorBidi"/>
          <w:color w:val="auto"/>
          <w:sz w:val="22"/>
          <w:szCs w:val="22"/>
        </w:rPr>
        <w:t>.</w:t>
      </w:r>
    </w:p>
    <w:p w14:paraId="15570B2A" w14:textId="5A9EB041" w:rsidR="00486D1A" w:rsidRDefault="005F0DD5" w:rsidP="008F1284">
      <w:pPr>
        <w:pStyle w:val="1"/>
        <w:numPr>
          <w:ilvl w:val="0"/>
          <w:numId w:val="1"/>
        </w:numPr>
        <w:rPr>
          <w:rFonts w:ascii="Calibri" w:hAnsi="Calibri"/>
        </w:rPr>
      </w:pPr>
      <w:r>
        <w:rPr>
          <w:rFonts w:ascii="Calibri" w:hAnsi="Calibri"/>
        </w:rPr>
        <w:t>Active TCI state switch</w:t>
      </w:r>
    </w:p>
    <w:p w14:paraId="76F8033B" w14:textId="1F0A8AE6" w:rsidR="003D55D1" w:rsidRPr="003D55D1" w:rsidRDefault="005F0DD5" w:rsidP="00AF58C2">
      <w:pPr>
        <w:pStyle w:val="af0"/>
        <w:rPr>
          <w:sz w:val="22"/>
          <w:szCs w:val="22"/>
          <w:u w:val="single"/>
          <w:lang w:val="en-US" w:eastAsia="zh-CN"/>
        </w:rPr>
      </w:pPr>
      <w:bookmarkStart w:id="1" w:name="_Ref23594810"/>
      <w:r>
        <w:rPr>
          <w:sz w:val="22"/>
          <w:szCs w:val="22"/>
          <w:u w:val="single"/>
          <w:lang w:val="en-US" w:eastAsia="zh-CN"/>
        </w:rPr>
        <w:t>MAC-based</w:t>
      </w:r>
      <w:r w:rsidR="004E1814">
        <w:rPr>
          <w:sz w:val="22"/>
          <w:szCs w:val="22"/>
          <w:u w:val="single"/>
          <w:lang w:val="en-US" w:eastAsia="zh-CN"/>
        </w:rPr>
        <w:t xml:space="preserve"> TCI state</w:t>
      </w:r>
      <w:r w:rsidR="003D55D1" w:rsidRPr="003D55D1">
        <w:rPr>
          <w:sz w:val="22"/>
          <w:szCs w:val="22"/>
          <w:u w:val="single"/>
          <w:lang w:val="en-US" w:eastAsia="zh-CN"/>
        </w:rPr>
        <w:t xml:space="preserve"> switch</w:t>
      </w:r>
    </w:p>
    <w:bookmarkEnd w:id="1"/>
    <w:p w14:paraId="54E02DFA" w14:textId="5EF73E1B" w:rsidR="005B722F" w:rsidRDefault="004E1814" w:rsidP="004E1814">
      <w:pPr>
        <w:jc w:val="both"/>
        <w:rPr>
          <w:rFonts w:eastAsia="Malgun Gothic"/>
        </w:rPr>
      </w:pPr>
      <w:r>
        <w:t xml:space="preserve">In last meeting, RAN4 had already agreed to align with RAN1’s spec. to capture UE shall be able to receive PDCCH with old TCI until </w:t>
      </w:r>
      <w:r w:rsidRPr="004E1814">
        <w:rPr>
          <w:rFonts w:eastAsia="Microsoft JhengHei" w:cstheme="minorHAnsi"/>
          <w:iCs/>
          <w:color w:val="000000"/>
        </w:rPr>
        <w:t>T</w:t>
      </w:r>
      <w:r w:rsidRPr="004E1814">
        <w:rPr>
          <w:rFonts w:eastAsia="Microsoft JhengHei" w:cstheme="minorHAnsi"/>
          <w:iCs/>
          <w:color w:val="000000"/>
          <w:vertAlign w:val="subscript"/>
        </w:rPr>
        <w:t>HARQ</w:t>
      </w:r>
      <w:r w:rsidRPr="004E1814">
        <w:rPr>
          <w:rFonts w:eastAsia="Microsoft JhengHei" w:cstheme="minorHAnsi"/>
          <w:iCs/>
          <w:color w:val="000000"/>
        </w:rPr>
        <w:t xml:space="preserve"> + 3</w:t>
      </w:r>
      <w:r>
        <w:rPr>
          <w:rFonts w:eastAsia="Microsoft JhengHei" w:cstheme="minorHAnsi"/>
          <w:iCs/>
          <w:color w:val="000000"/>
        </w:rPr>
        <w:t xml:space="preserve"> and </w:t>
      </w:r>
      <w:r>
        <w:t xml:space="preserve">to receive PDCCH with new TCI after </w:t>
      </w:r>
      <w:r w:rsidRPr="00DD3199">
        <w:t>n+</w:t>
      </w:r>
      <w:r w:rsidRPr="00DD3199">
        <w:rPr>
          <w:rFonts w:eastAsia="Malgun Gothic"/>
        </w:rPr>
        <w:t xml:space="preserve"> T</w:t>
      </w:r>
      <w:r w:rsidRPr="00DD3199">
        <w:rPr>
          <w:rFonts w:eastAsia="Malgun Gothic"/>
          <w:vertAlign w:val="subscript"/>
        </w:rPr>
        <w:t>HARQ</w:t>
      </w:r>
      <w:r w:rsidRPr="00DD3199">
        <w:rPr>
          <w:rFonts w:eastAsia="Malgun Gothic"/>
        </w:rPr>
        <w:t xml:space="preserve"> +3 ms +TO</w:t>
      </w:r>
      <w:r w:rsidRPr="00DD3199">
        <w:rPr>
          <w:rFonts w:eastAsia="Malgun Gothic"/>
          <w:vertAlign w:val="subscript"/>
        </w:rPr>
        <w:t>k</w:t>
      </w:r>
      <w:r w:rsidRPr="00DD3199">
        <w:rPr>
          <w:rFonts w:eastAsia="Malgun Gothic"/>
        </w:rPr>
        <w:t>*(T</w:t>
      </w:r>
      <w:r w:rsidRPr="00DD3199">
        <w:rPr>
          <w:rFonts w:eastAsia="Malgun Gothic"/>
          <w:vertAlign w:val="subscript"/>
        </w:rPr>
        <w:t xml:space="preserve">first-SSB </w:t>
      </w:r>
      <w:r w:rsidRPr="00DD3199">
        <w:rPr>
          <w:rFonts w:eastAsia="Malgun Gothic"/>
        </w:rPr>
        <w:t>+ T</w:t>
      </w:r>
      <w:r w:rsidRPr="00DD3199">
        <w:rPr>
          <w:rFonts w:eastAsia="Malgun Gothic"/>
          <w:vertAlign w:val="subscript"/>
        </w:rPr>
        <w:t>SSB-proc</w:t>
      </w:r>
      <w:r w:rsidRPr="00DD3199">
        <w:rPr>
          <w:rFonts w:eastAsia="Malgun Gothic"/>
        </w:rPr>
        <w:t>)</w:t>
      </w:r>
      <w:r>
        <w:rPr>
          <w:rFonts w:eastAsia="Malgun Gothic"/>
        </w:rPr>
        <w:t>. The open issue is whether to clarify UE’s behavior between these two time points.</w:t>
      </w:r>
    </w:p>
    <w:p w14:paraId="33DF26C8" w14:textId="77777777" w:rsidR="004E1814" w:rsidRDefault="004E1814" w:rsidP="004E1814">
      <w:pPr>
        <w:jc w:val="both"/>
        <w:rPr>
          <w:rFonts w:eastAsia="Microsoft JhengHei" w:cstheme="minorHAnsi"/>
          <w:iCs/>
          <w:color w:val="000000"/>
        </w:rPr>
      </w:pPr>
      <w:r>
        <w:t xml:space="preserve">Our view is that RAN4 doesn’t need to clarify UE’s behavior after </w:t>
      </w:r>
      <w:r w:rsidRPr="004E1814">
        <w:rPr>
          <w:rFonts w:eastAsia="Microsoft JhengHei" w:cstheme="minorHAnsi"/>
          <w:iCs/>
          <w:color w:val="000000"/>
        </w:rPr>
        <w:t>T</w:t>
      </w:r>
      <w:r w:rsidRPr="004E1814">
        <w:rPr>
          <w:rFonts w:eastAsia="Microsoft JhengHei" w:cstheme="minorHAnsi"/>
          <w:iCs/>
          <w:color w:val="000000"/>
          <w:vertAlign w:val="subscript"/>
        </w:rPr>
        <w:t>HARQ</w:t>
      </w:r>
      <w:r w:rsidRPr="004E1814">
        <w:rPr>
          <w:rFonts w:eastAsia="Microsoft JhengHei" w:cstheme="minorHAnsi"/>
          <w:iCs/>
          <w:color w:val="000000"/>
        </w:rPr>
        <w:t xml:space="preserve"> + 3</w:t>
      </w:r>
      <w:r>
        <w:rPr>
          <w:rFonts w:eastAsia="Microsoft JhengHei" w:cstheme="minorHAnsi"/>
          <w:iCs/>
          <w:color w:val="000000"/>
        </w:rPr>
        <w:t xml:space="preserve"> to UE finishing the TCI state switch. On the one hand, </w:t>
      </w:r>
      <w:r>
        <w:rPr>
          <w:rFonts w:eastAsia="Malgun Gothic"/>
        </w:rPr>
        <w:t xml:space="preserve">many commercial gNBs and UEs have already been deployed to compliant with switching to the new TCI after </w:t>
      </w:r>
      <w:r w:rsidRPr="004E1814">
        <w:rPr>
          <w:rFonts w:eastAsia="Microsoft JhengHei" w:cstheme="minorHAnsi"/>
          <w:iCs/>
          <w:color w:val="000000"/>
        </w:rPr>
        <w:t>T</w:t>
      </w:r>
      <w:r w:rsidRPr="004E1814">
        <w:rPr>
          <w:rFonts w:eastAsia="Microsoft JhengHei" w:cstheme="minorHAnsi"/>
          <w:iCs/>
          <w:color w:val="000000"/>
          <w:vertAlign w:val="subscript"/>
        </w:rPr>
        <w:t>HARQ</w:t>
      </w:r>
      <w:r w:rsidRPr="004E1814">
        <w:rPr>
          <w:rFonts w:eastAsia="Microsoft JhengHei" w:cstheme="minorHAnsi"/>
          <w:iCs/>
          <w:color w:val="000000"/>
        </w:rPr>
        <w:t xml:space="preserve"> + 3</w:t>
      </w:r>
      <w:r>
        <w:rPr>
          <w:rFonts w:eastAsia="Microsoft JhengHei" w:cstheme="minorHAnsi"/>
          <w:iCs/>
          <w:color w:val="000000"/>
        </w:rPr>
        <w:t xml:space="preserve"> i</w:t>
      </w:r>
      <w:r>
        <w:rPr>
          <w:rFonts w:eastAsia="Malgun Gothic"/>
        </w:rPr>
        <w:t>n the field</w:t>
      </w:r>
      <w:r>
        <w:rPr>
          <w:rFonts w:eastAsia="Microsoft JhengHei" w:cstheme="minorHAnsi"/>
          <w:iCs/>
          <w:color w:val="000000"/>
        </w:rPr>
        <w:t xml:space="preserve">, but the performance degradation can be expected due to unfinished fine timing tracking based on RAN4’s discussion. On the other hand, if UE still stay on old beam, it can be also expected the performance degradation because once NW asks UE to switch the TCI, it means the old TCI’s performance is worse than NW’s requirement. </w:t>
      </w:r>
    </w:p>
    <w:p w14:paraId="2AEF3E32" w14:textId="4CD67858" w:rsidR="005F0DD5" w:rsidRDefault="004E1814" w:rsidP="004E1814">
      <w:pPr>
        <w:jc w:val="both"/>
        <w:rPr>
          <w:rFonts w:eastAsia="Microsoft JhengHei" w:cstheme="minorHAnsi"/>
          <w:iCs/>
          <w:color w:val="000000"/>
        </w:rPr>
      </w:pPr>
      <w:bookmarkStart w:id="2" w:name="_Ref46936787"/>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B8002A">
        <w:rPr>
          <w:b/>
          <w:i/>
          <w:noProof/>
          <w:sz w:val="20"/>
          <w:szCs w:val="20"/>
          <w:lang w:eastAsia="x-none"/>
        </w:rPr>
        <w:t>1</w:t>
      </w:r>
      <w:r w:rsidRPr="003676C9">
        <w:rPr>
          <w:b/>
          <w:i/>
          <w:sz w:val="20"/>
          <w:szCs w:val="20"/>
          <w:lang w:eastAsia="x-none"/>
        </w:rPr>
        <w:fldChar w:fldCharType="end"/>
      </w:r>
      <w:r w:rsidRPr="003676C9">
        <w:rPr>
          <w:b/>
          <w:i/>
          <w:sz w:val="20"/>
          <w:szCs w:val="20"/>
          <w:lang w:eastAsia="x-none"/>
        </w:rPr>
        <w:t xml:space="preserve">: </w:t>
      </w:r>
      <w:r>
        <w:rPr>
          <w:b/>
          <w:i/>
          <w:sz w:val="20"/>
          <w:szCs w:val="20"/>
          <w:lang w:eastAsia="x-none"/>
        </w:rPr>
        <w:t xml:space="preserve">RAN4 doesn’t need to clarify UE’s behavior </w:t>
      </w:r>
      <w:r w:rsidR="005F0DD5">
        <w:rPr>
          <w:b/>
          <w:i/>
          <w:sz w:val="20"/>
          <w:szCs w:val="20"/>
          <w:lang w:eastAsia="x-none"/>
        </w:rPr>
        <w:t>from n+</w:t>
      </w:r>
      <w:r>
        <w:rPr>
          <w:b/>
          <w:i/>
          <w:sz w:val="20"/>
          <w:szCs w:val="20"/>
          <w:lang w:eastAsia="x-none"/>
        </w:rPr>
        <w:t xml:space="preserve"> </w:t>
      </w:r>
      <w:r w:rsidRPr="004E1814">
        <w:rPr>
          <w:rFonts w:eastAsia="Microsoft JhengHei" w:cstheme="minorHAnsi"/>
          <w:b/>
          <w:i/>
          <w:iCs/>
          <w:color w:val="000000"/>
        </w:rPr>
        <w:t>T</w:t>
      </w:r>
      <w:r w:rsidRPr="004E1814">
        <w:rPr>
          <w:rFonts w:eastAsia="Microsoft JhengHei" w:cstheme="minorHAnsi"/>
          <w:b/>
          <w:i/>
          <w:iCs/>
          <w:color w:val="000000"/>
          <w:vertAlign w:val="subscript"/>
        </w:rPr>
        <w:t>HARQ</w:t>
      </w:r>
      <w:r w:rsidRPr="004E1814">
        <w:rPr>
          <w:rFonts w:eastAsia="Microsoft JhengHei" w:cstheme="minorHAnsi"/>
          <w:b/>
          <w:i/>
          <w:iCs/>
          <w:color w:val="000000"/>
        </w:rPr>
        <w:t xml:space="preserve"> + 3</w:t>
      </w:r>
      <w:r w:rsidR="005F0DD5">
        <w:rPr>
          <w:rFonts w:eastAsia="Microsoft JhengHei" w:cstheme="minorHAnsi"/>
          <w:b/>
          <w:i/>
          <w:iCs/>
          <w:color w:val="000000"/>
        </w:rPr>
        <w:t>ms</w:t>
      </w:r>
      <w:r w:rsidRPr="004E1814">
        <w:rPr>
          <w:rFonts w:eastAsia="Microsoft JhengHei" w:cstheme="minorHAnsi"/>
          <w:b/>
          <w:i/>
          <w:iCs/>
          <w:color w:val="000000"/>
        </w:rPr>
        <w:t xml:space="preserve"> to UE finishing the </w:t>
      </w:r>
      <w:r w:rsidR="005F0DD5">
        <w:rPr>
          <w:rFonts w:eastAsia="Microsoft JhengHei" w:cstheme="minorHAnsi"/>
          <w:b/>
          <w:i/>
          <w:iCs/>
          <w:color w:val="000000"/>
        </w:rPr>
        <w:t xml:space="preserve">active </w:t>
      </w:r>
      <w:r w:rsidRPr="004E1814">
        <w:rPr>
          <w:rFonts w:eastAsia="Microsoft JhengHei" w:cstheme="minorHAnsi"/>
          <w:b/>
          <w:i/>
          <w:iCs/>
          <w:color w:val="000000"/>
        </w:rPr>
        <w:t>TCI state switch</w:t>
      </w:r>
      <w:r>
        <w:rPr>
          <w:rFonts w:eastAsia="Microsoft JhengHei" w:cstheme="minorHAnsi"/>
          <w:iCs/>
          <w:color w:val="000000"/>
        </w:rPr>
        <w:t>.</w:t>
      </w:r>
      <w:bookmarkEnd w:id="2"/>
      <w:r>
        <w:rPr>
          <w:rFonts w:eastAsia="Microsoft JhengHei" w:cstheme="minorHAnsi"/>
          <w:iCs/>
          <w:color w:val="000000"/>
        </w:rPr>
        <w:t xml:space="preserve"> </w:t>
      </w:r>
    </w:p>
    <w:p w14:paraId="069D8391" w14:textId="285BA9A8" w:rsidR="00B8002A" w:rsidRDefault="00B8002A" w:rsidP="004E1814">
      <w:pPr>
        <w:jc w:val="both"/>
        <w:rPr>
          <w:b/>
          <w:u w:val="single"/>
        </w:rPr>
      </w:pPr>
      <w:r w:rsidRPr="00B8002A">
        <w:rPr>
          <w:b/>
          <w:u w:val="single"/>
        </w:rPr>
        <w:t>RRC-based TCI state switch</w:t>
      </w:r>
    </w:p>
    <w:p w14:paraId="76B9E8FB" w14:textId="77777777" w:rsidR="00297C6B" w:rsidRDefault="00B8002A" w:rsidP="004E1814">
      <w:pPr>
        <w:jc w:val="both"/>
      </w:pPr>
      <w:r>
        <w:t xml:space="preserve">In last meeting, RAN4 had a discussion on whether spec. needs to clarify that UE is permitted to transmit the HARQ during the RRC reconfiguration processing. </w:t>
      </w:r>
    </w:p>
    <w:p w14:paraId="199B2ACF" w14:textId="5FAEE56C" w:rsidR="00B8002A" w:rsidRDefault="00297C6B" w:rsidP="004E1814">
      <w:pPr>
        <w:jc w:val="both"/>
      </w:pPr>
      <w:r>
        <w:t xml:space="preserve">In the current spec, although </w:t>
      </w:r>
      <w:r>
        <w:rPr>
          <w:rFonts w:eastAsia="Malgun Gothic"/>
        </w:rPr>
        <w:t>t</w:t>
      </w:r>
      <w:r w:rsidRPr="009C5807">
        <w:rPr>
          <w:rFonts w:eastAsia="Malgun Gothic"/>
        </w:rPr>
        <w:t>he UE is not required to receive or transmit</w:t>
      </w:r>
      <w:r>
        <w:rPr>
          <w:rFonts w:eastAsia="Malgun Gothic"/>
        </w:rPr>
        <w:t xml:space="preserve"> </w:t>
      </w:r>
      <w:r w:rsidRPr="009C5807">
        <w:rPr>
          <w:rFonts w:eastAsia="Malgun Gothic"/>
        </w:rPr>
        <w:t>until the end of switching period</w:t>
      </w:r>
      <w:r>
        <w:rPr>
          <w:rFonts w:eastAsia="Malgun Gothic"/>
        </w:rPr>
        <w:t xml:space="preserve">, UE is still allowed to do so. Besides, </w:t>
      </w:r>
      <w:r>
        <w:t>b</w:t>
      </w:r>
      <w:r w:rsidR="00B8002A">
        <w:t xml:space="preserve">efore UE finishing the RRC reconfiguration parsing, </w:t>
      </w:r>
      <w:r w:rsidR="00B8002A" w:rsidRPr="00297C6B">
        <w:t>UE will definitely transmit the HARQ feedback to NW because UE didn’t know this RRC signalling</w:t>
      </w:r>
      <w:r w:rsidR="00B8002A">
        <w:t xml:space="preserve"> is for TCI state switch. At the same time, during the RRC reconfiguration delay, the UE’s behavior is undefined because the RRC </w:t>
      </w:r>
      <w:r w:rsidR="00B8002A">
        <w:lastRenderedPageBreak/>
        <w:t xml:space="preserve">reconfiguration may include other procedures’ signalling. Thus, RAN4 doesn’t need to further clarify that </w:t>
      </w:r>
      <w:r w:rsidR="00B8002A" w:rsidRPr="00B8002A">
        <w:t>UE is allowed to transmit HARQ</w:t>
      </w:r>
      <w:r w:rsidR="00B8002A">
        <w:t>.</w:t>
      </w:r>
    </w:p>
    <w:p w14:paraId="46ADD531" w14:textId="75C20FB4" w:rsidR="00B8002A" w:rsidRPr="00B8002A" w:rsidRDefault="00B8002A" w:rsidP="004E1814">
      <w:pPr>
        <w:jc w:val="both"/>
        <w:rPr>
          <w:b/>
          <w:i/>
          <w:sz w:val="20"/>
          <w:szCs w:val="20"/>
          <w:lang w:eastAsia="x-none"/>
        </w:rPr>
      </w:pPr>
      <w:bookmarkStart w:id="3" w:name="_Ref46996339"/>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Pr>
          <w:b/>
          <w:i/>
          <w:noProof/>
          <w:sz w:val="20"/>
          <w:szCs w:val="20"/>
          <w:lang w:eastAsia="x-none"/>
        </w:rPr>
        <w:t>2</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w:t>
      </w:r>
      <w:r w:rsidRPr="00B8002A">
        <w:rPr>
          <w:b/>
          <w:i/>
          <w:sz w:val="20"/>
          <w:szCs w:val="20"/>
          <w:lang w:eastAsia="x-none"/>
        </w:rPr>
        <w:t xml:space="preserve">Before UE finishing the RRC reconfiguration parsing, UE will transmit the HARQ feedback to NW. RAN4 doesn’t need to update spec. to </w:t>
      </w:r>
      <w:r>
        <w:rPr>
          <w:b/>
          <w:i/>
          <w:sz w:val="20"/>
          <w:szCs w:val="20"/>
          <w:lang w:eastAsia="x-none"/>
        </w:rPr>
        <w:t>identify</w:t>
      </w:r>
      <w:r w:rsidRPr="00B8002A">
        <w:rPr>
          <w:b/>
          <w:i/>
          <w:sz w:val="20"/>
          <w:szCs w:val="20"/>
          <w:lang w:eastAsia="x-none"/>
        </w:rPr>
        <w:t xml:space="preserve"> th</w:t>
      </w:r>
      <w:r>
        <w:rPr>
          <w:b/>
          <w:i/>
          <w:sz w:val="20"/>
          <w:szCs w:val="20"/>
          <w:lang w:eastAsia="x-none"/>
        </w:rPr>
        <w:t>e</w:t>
      </w:r>
      <w:r w:rsidRPr="00B8002A">
        <w:rPr>
          <w:b/>
          <w:i/>
          <w:sz w:val="20"/>
          <w:szCs w:val="20"/>
          <w:lang w:eastAsia="x-none"/>
        </w:rPr>
        <w:t xml:space="preserve"> UE’s behavior</w:t>
      </w:r>
      <w:r>
        <w:rPr>
          <w:b/>
          <w:i/>
          <w:sz w:val="20"/>
          <w:szCs w:val="20"/>
          <w:lang w:eastAsia="x-none"/>
        </w:rPr>
        <w:t xml:space="preserve"> during RRC reconfiguration processing</w:t>
      </w:r>
      <w:r w:rsidRPr="00B8002A">
        <w:rPr>
          <w:b/>
          <w:i/>
          <w:sz w:val="20"/>
          <w:szCs w:val="20"/>
          <w:lang w:eastAsia="x-none"/>
        </w:rPr>
        <w:t>.</w:t>
      </w:r>
      <w:bookmarkEnd w:id="3"/>
      <w:r w:rsidRPr="003676C9">
        <w:rPr>
          <w:b/>
          <w:i/>
          <w:sz w:val="20"/>
          <w:szCs w:val="20"/>
          <w:lang w:eastAsia="x-none"/>
        </w:rPr>
        <w:t xml:space="preserve"> </w:t>
      </w:r>
      <w:r w:rsidRPr="00B8002A">
        <w:rPr>
          <w:b/>
          <w:i/>
          <w:sz w:val="20"/>
          <w:szCs w:val="20"/>
          <w:lang w:eastAsia="x-none"/>
        </w:rPr>
        <w:t xml:space="preserve"> </w:t>
      </w:r>
    </w:p>
    <w:p w14:paraId="63DAF042" w14:textId="727F6D8C" w:rsidR="005F0DD5" w:rsidRDefault="005F0DD5" w:rsidP="004E1814">
      <w:pPr>
        <w:jc w:val="both"/>
        <w:rPr>
          <w:b/>
          <w:u w:val="single"/>
        </w:rPr>
      </w:pPr>
      <w:r w:rsidRPr="005F0DD5">
        <w:rPr>
          <w:b/>
          <w:u w:val="single"/>
        </w:rPr>
        <w:t>Active TCI list update</w:t>
      </w:r>
    </w:p>
    <w:p w14:paraId="7A9592E1" w14:textId="30B36777" w:rsidR="005F0DD5" w:rsidRDefault="005F0DD5" w:rsidP="004E1814">
      <w:pPr>
        <w:jc w:val="both"/>
        <w:rPr>
          <w:rFonts w:eastAsia="Microsoft JhengHei" w:cstheme="minorHAnsi"/>
          <w:iCs/>
          <w:color w:val="000000"/>
        </w:rPr>
      </w:pPr>
      <w:r w:rsidRPr="005F0DD5">
        <w:rPr>
          <w:rFonts w:eastAsia="Microsoft JhengHei" w:cstheme="minorHAnsi"/>
          <w:iCs/>
          <w:color w:val="000000"/>
        </w:rPr>
        <w:t>Another issue in TCI state switch is</w:t>
      </w:r>
      <w:r>
        <w:rPr>
          <w:rFonts w:eastAsia="Microsoft JhengHei" w:cstheme="minorHAnsi"/>
          <w:iCs/>
          <w:color w:val="000000"/>
        </w:rPr>
        <w:t xml:space="preserve"> </w:t>
      </w:r>
      <w:r w:rsidRPr="00DD3199">
        <w:rPr>
          <w:rFonts w:eastAsia="Malgun Gothic"/>
        </w:rPr>
        <w:t>TO</w:t>
      </w:r>
      <w:r w:rsidRPr="00DD3199">
        <w:rPr>
          <w:rFonts w:eastAsia="Malgun Gothic"/>
          <w:vertAlign w:val="subscript"/>
        </w:rPr>
        <w:t>k</w:t>
      </w:r>
      <w:r>
        <w:rPr>
          <w:rFonts w:eastAsia="Microsoft JhengHei" w:cstheme="minorHAnsi"/>
          <w:iCs/>
          <w:color w:val="000000"/>
        </w:rPr>
        <w:t xml:space="preserve"> was captured in current active TCI list update requirement which is a redundant condition. When NW asks UE to update the TCI state list, definitely the new added TCI state </w:t>
      </w:r>
      <w:r w:rsidR="000F711C">
        <w:rPr>
          <w:rFonts w:eastAsia="Microsoft JhengHei" w:cstheme="minorHAnsi"/>
          <w:iCs/>
          <w:color w:val="000000"/>
        </w:rPr>
        <w:t>wa</w:t>
      </w:r>
      <w:r>
        <w:rPr>
          <w:rFonts w:eastAsia="Microsoft JhengHei" w:cstheme="minorHAnsi"/>
          <w:iCs/>
          <w:color w:val="000000"/>
        </w:rPr>
        <w:t xml:space="preserve">sn’t included in </w:t>
      </w:r>
      <w:r w:rsidR="000F711C">
        <w:rPr>
          <w:rFonts w:eastAsia="Microsoft JhengHei" w:cstheme="minorHAnsi"/>
          <w:iCs/>
          <w:color w:val="000000"/>
        </w:rPr>
        <w:t xml:space="preserve">original </w:t>
      </w:r>
      <w:r>
        <w:rPr>
          <w:rFonts w:eastAsia="Microsoft JhengHei" w:cstheme="minorHAnsi"/>
          <w:iCs/>
          <w:color w:val="000000"/>
        </w:rPr>
        <w:t>active TCI list.</w:t>
      </w:r>
      <w:r w:rsidRPr="005F0DD5">
        <w:rPr>
          <w:rFonts w:eastAsia="Microsoft JhengHei" w:cstheme="minorHAnsi"/>
          <w:iCs/>
          <w:color w:val="000000"/>
        </w:rPr>
        <w:t xml:space="preserve"> </w:t>
      </w:r>
      <w:r>
        <w:rPr>
          <w:rFonts w:eastAsia="Microsoft JhengHei" w:cstheme="minorHAnsi"/>
          <w:iCs/>
          <w:color w:val="000000"/>
        </w:rPr>
        <w:t xml:space="preserve">Otherwise, it’s not expected to update UE’s active TCI list. Thus, UE always needs the timing tracking </w:t>
      </w:r>
      <w:r w:rsidRPr="00297C6B">
        <w:rPr>
          <w:rFonts w:eastAsia="Microsoft JhengHei" w:cstheme="minorHAnsi"/>
          <w:iCs/>
          <w:color w:val="000000"/>
        </w:rPr>
        <w:t>bullet</w:t>
      </w:r>
      <w:r>
        <w:rPr>
          <w:rFonts w:eastAsia="Microsoft JhengHei" w:cstheme="minorHAnsi"/>
          <w:iCs/>
          <w:color w:val="000000"/>
        </w:rPr>
        <w:t>.</w:t>
      </w:r>
    </w:p>
    <w:p w14:paraId="79B786BE" w14:textId="2CF4576D" w:rsidR="005F0DD5" w:rsidRPr="005F0DD5" w:rsidRDefault="005F0DD5" w:rsidP="004E1814">
      <w:pPr>
        <w:jc w:val="both"/>
        <w:rPr>
          <w:rFonts w:eastAsia="Microsoft JhengHei" w:cstheme="minorHAnsi"/>
          <w:iCs/>
          <w:color w:val="000000"/>
        </w:rPr>
      </w:pPr>
      <w:bookmarkStart w:id="4" w:name="_Ref46936790"/>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B8002A">
        <w:rPr>
          <w:b/>
          <w:i/>
          <w:noProof/>
          <w:sz w:val="20"/>
          <w:szCs w:val="20"/>
          <w:lang w:eastAsia="x-none"/>
        </w:rPr>
        <w:t>3</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Delete </w:t>
      </w:r>
      <w:r w:rsidRPr="005F0DD5">
        <w:rPr>
          <w:rFonts w:eastAsia="Malgun Gothic"/>
          <w:b/>
          <w:i/>
        </w:rPr>
        <w:t>TO</w:t>
      </w:r>
      <w:r w:rsidRPr="005F0DD5">
        <w:rPr>
          <w:rFonts w:eastAsia="Malgun Gothic"/>
          <w:b/>
          <w:i/>
          <w:vertAlign w:val="subscript"/>
        </w:rPr>
        <w:t xml:space="preserve">k </w:t>
      </w:r>
      <w:r w:rsidRPr="005F0DD5">
        <w:rPr>
          <w:rFonts w:eastAsia="Malgun Gothic"/>
          <w:b/>
          <w:i/>
        </w:rPr>
        <w:t>in active TCI list update requirement.</w:t>
      </w:r>
      <w:bookmarkEnd w:id="4"/>
      <w:r>
        <w:rPr>
          <w:b/>
          <w:i/>
          <w:sz w:val="20"/>
          <w:szCs w:val="20"/>
          <w:lang w:eastAsia="x-none"/>
        </w:rPr>
        <w:t xml:space="preserve"> </w:t>
      </w:r>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7E3B27F6" w14:textId="42472088"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issue of </w:t>
      </w:r>
      <w:r w:rsidR="00661255" w:rsidRPr="004E1814">
        <w:t>signalling characteristics</w:t>
      </w:r>
      <w:r w:rsidR="00E60A26">
        <w:t>. We have the following proposals.</w:t>
      </w:r>
    </w:p>
    <w:p w14:paraId="52D5579C" w14:textId="4DA4B160" w:rsidR="001650F7" w:rsidRDefault="00661255" w:rsidP="00342615">
      <w:pPr>
        <w:adjustRightInd w:val="0"/>
        <w:snapToGrid w:val="0"/>
        <w:spacing w:before="180" w:after="120"/>
        <w:jc w:val="both"/>
      </w:pPr>
      <w:r>
        <w:fldChar w:fldCharType="begin"/>
      </w:r>
      <w:r>
        <w:instrText xml:space="preserve"> REF _Ref46936787 \h </w:instrText>
      </w:r>
      <w:r>
        <w:fldChar w:fldCharType="separate"/>
      </w:r>
      <w:r w:rsidR="00B8002A" w:rsidRPr="003676C9">
        <w:rPr>
          <w:b/>
          <w:i/>
          <w:sz w:val="20"/>
          <w:szCs w:val="20"/>
          <w:lang w:eastAsia="x-none"/>
        </w:rPr>
        <w:t xml:space="preserve">Proposal </w:t>
      </w:r>
      <w:r w:rsidR="00B8002A">
        <w:rPr>
          <w:b/>
          <w:i/>
          <w:noProof/>
          <w:sz w:val="20"/>
          <w:szCs w:val="20"/>
          <w:lang w:eastAsia="x-none"/>
        </w:rPr>
        <w:t>1</w:t>
      </w:r>
      <w:r w:rsidR="00B8002A" w:rsidRPr="003676C9">
        <w:rPr>
          <w:b/>
          <w:i/>
          <w:sz w:val="20"/>
          <w:szCs w:val="20"/>
          <w:lang w:eastAsia="x-none"/>
        </w:rPr>
        <w:t xml:space="preserve">: </w:t>
      </w:r>
      <w:r w:rsidR="00B8002A">
        <w:rPr>
          <w:b/>
          <w:i/>
          <w:sz w:val="20"/>
          <w:szCs w:val="20"/>
          <w:lang w:eastAsia="x-none"/>
        </w:rPr>
        <w:t xml:space="preserve">RAN4 doesn’t need to clarify UE’s behavior from n+ </w:t>
      </w:r>
      <w:r w:rsidR="00B8002A" w:rsidRPr="004E1814">
        <w:rPr>
          <w:rFonts w:eastAsia="Microsoft JhengHei" w:cstheme="minorHAnsi"/>
          <w:b/>
          <w:i/>
          <w:iCs/>
          <w:color w:val="000000"/>
        </w:rPr>
        <w:t>T</w:t>
      </w:r>
      <w:r w:rsidR="00B8002A" w:rsidRPr="004E1814">
        <w:rPr>
          <w:rFonts w:eastAsia="Microsoft JhengHei" w:cstheme="minorHAnsi"/>
          <w:b/>
          <w:i/>
          <w:iCs/>
          <w:color w:val="000000"/>
          <w:vertAlign w:val="subscript"/>
        </w:rPr>
        <w:t>HARQ</w:t>
      </w:r>
      <w:r w:rsidR="00B8002A" w:rsidRPr="004E1814">
        <w:rPr>
          <w:rFonts w:eastAsia="Microsoft JhengHei" w:cstheme="minorHAnsi"/>
          <w:b/>
          <w:i/>
          <w:iCs/>
          <w:color w:val="000000"/>
        </w:rPr>
        <w:t xml:space="preserve"> + 3</w:t>
      </w:r>
      <w:r w:rsidR="00B8002A">
        <w:rPr>
          <w:rFonts w:eastAsia="Microsoft JhengHei" w:cstheme="minorHAnsi"/>
          <w:b/>
          <w:i/>
          <w:iCs/>
          <w:color w:val="000000"/>
        </w:rPr>
        <w:t>ms</w:t>
      </w:r>
      <w:r w:rsidR="00B8002A" w:rsidRPr="004E1814">
        <w:rPr>
          <w:rFonts w:eastAsia="Microsoft JhengHei" w:cstheme="minorHAnsi"/>
          <w:b/>
          <w:i/>
          <w:iCs/>
          <w:color w:val="000000"/>
        </w:rPr>
        <w:t xml:space="preserve"> to UE finishing the </w:t>
      </w:r>
      <w:r w:rsidR="00B8002A">
        <w:rPr>
          <w:rFonts w:eastAsia="Microsoft JhengHei" w:cstheme="minorHAnsi"/>
          <w:b/>
          <w:i/>
          <w:iCs/>
          <w:color w:val="000000"/>
        </w:rPr>
        <w:t xml:space="preserve">active </w:t>
      </w:r>
      <w:r w:rsidR="00B8002A" w:rsidRPr="004E1814">
        <w:rPr>
          <w:rFonts w:eastAsia="Microsoft JhengHei" w:cstheme="minorHAnsi"/>
          <w:b/>
          <w:i/>
          <w:iCs/>
          <w:color w:val="000000"/>
        </w:rPr>
        <w:t>TCI state switch</w:t>
      </w:r>
      <w:r w:rsidR="00B8002A">
        <w:rPr>
          <w:rFonts w:eastAsia="Microsoft JhengHei" w:cstheme="minorHAnsi"/>
          <w:iCs/>
          <w:color w:val="000000"/>
        </w:rPr>
        <w:t>.</w:t>
      </w:r>
      <w:r>
        <w:fldChar w:fldCharType="end"/>
      </w:r>
    </w:p>
    <w:p w14:paraId="7996A62F" w14:textId="5CA490E2" w:rsidR="00B8002A" w:rsidRDefault="00B8002A" w:rsidP="00342615">
      <w:pPr>
        <w:adjustRightInd w:val="0"/>
        <w:snapToGrid w:val="0"/>
        <w:spacing w:before="180" w:after="120"/>
        <w:jc w:val="both"/>
      </w:pPr>
      <w:r>
        <w:fldChar w:fldCharType="begin"/>
      </w:r>
      <w:r>
        <w:instrText xml:space="preserve"> REF _Ref46996339 \h </w:instrText>
      </w:r>
      <w:r>
        <w:fldChar w:fldCharType="separate"/>
      </w:r>
      <w:r w:rsidRPr="003676C9">
        <w:rPr>
          <w:b/>
          <w:i/>
          <w:sz w:val="20"/>
          <w:szCs w:val="20"/>
          <w:lang w:eastAsia="x-none"/>
        </w:rPr>
        <w:t xml:space="preserve">Proposal </w:t>
      </w:r>
      <w:r>
        <w:rPr>
          <w:b/>
          <w:i/>
          <w:noProof/>
          <w:sz w:val="20"/>
          <w:szCs w:val="20"/>
          <w:lang w:eastAsia="x-none"/>
        </w:rPr>
        <w:t>2</w:t>
      </w:r>
      <w:r w:rsidRPr="003676C9">
        <w:rPr>
          <w:b/>
          <w:i/>
          <w:sz w:val="20"/>
          <w:szCs w:val="20"/>
          <w:lang w:eastAsia="x-none"/>
        </w:rPr>
        <w:t>:</w:t>
      </w:r>
      <w:r>
        <w:rPr>
          <w:b/>
          <w:i/>
          <w:sz w:val="20"/>
          <w:szCs w:val="20"/>
          <w:lang w:eastAsia="x-none"/>
        </w:rPr>
        <w:t xml:space="preserve"> </w:t>
      </w:r>
      <w:r w:rsidRPr="00B8002A">
        <w:rPr>
          <w:b/>
          <w:i/>
          <w:sz w:val="20"/>
          <w:szCs w:val="20"/>
          <w:lang w:eastAsia="x-none"/>
        </w:rPr>
        <w:t xml:space="preserve">Before UE finishing the RRC reconfiguration parsing, UE will transmit the HARQ feedback to NW. RAN4 doesn’t need to update spec. to </w:t>
      </w:r>
      <w:r>
        <w:rPr>
          <w:b/>
          <w:i/>
          <w:sz w:val="20"/>
          <w:szCs w:val="20"/>
          <w:lang w:eastAsia="x-none"/>
        </w:rPr>
        <w:t>identify</w:t>
      </w:r>
      <w:r w:rsidRPr="00B8002A">
        <w:rPr>
          <w:b/>
          <w:i/>
          <w:sz w:val="20"/>
          <w:szCs w:val="20"/>
          <w:lang w:eastAsia="x-none"/>
        </w:rPr>
        <w:t xml:space="preserve"> th</w:t>
      </w:r>
      <w:r>
        <w:rPr>
          <w:b/>
          <w:i/>
          <w:sz w:val="20"/>
          <w:szCs w:val="20"/>
          <w:lang w:eastAsia="x-none"/>
        </w:rPr>
        <w:t>e</w:t>
      </w:r>
      <w:r w:rsidRPr="00B8002A">
        <w:rPr>
          <w:b/>
          <w:i/>
          <w:sz w:val="20"/>
          <w:szCs w:val="20"/>
          <w:lang w:eastAsia="x-none"/>
        </w:rPr>
        <w:t xml:space="preserve"> UE’s behavior</w:t>
      </w:r>
      <w:r>
        <w:rPr>
          <w:b/>
          <w:i/>
          <w:sz w:val="20"/>
          <w:szCs w:val="20"/>
          <w:lang w:eastAsia="x-none"/>
        </w:rPr>
        <w:t xml:space="preserve"> during RRC reconfiguration processing</w:t>
      </w:r>
      <w:r w:rsidRPr="00B8002A">
        <w:rPr>
          <w:b/>
          <w:i/>
          <w:sz w:val="20"/>
          <w:szCs w:val="20"/>
          <w:lang w:eastAsia="x-none"/>
        </w:rPr>
        <w:t>.</w:t>
      </w:r>
      <w:r>
        <w:fldChar w:fldCharType="end"/>
      </w:r>
    </w:p>
    <w:p w14:paraId="42357F00" w14:textId="1A5177CE" w:rsidR="00661255" w:rsidRDefault="00661255" w:rsidP="00342615">
      <w:pPr>
        <w:adjustRightInd w:val="0"/>
        <w:snapToGrid w:val="0"/>
        <w:spacing w:before="180" w:after="120"/>
        <w:jc w:val="both"/>
      </w:pPr>
      <w:r>
        <w:fldChar w:fldCharType="begin"/>
      </w:r>
      <w:r>
        <w:instrText xml:space="preserve"> REF _Ref46936790 \h </w:instrText>
      </w:r>
      <w:r>
        <w:fldChar w:fldCharType="separate"/>
      </w:r>
      <w:r w:rsidR="00B8002A" w:rsidRPr="003676C9">
        <w:rPr>
          <w:b/>
          <w:i/>
          <w:sz w:val="20"/>
          <w:szCs w:val="20"/>
          <w:lang w:eastAsia="x-none"/>
        </w:rPr>
        <w:t xml:space="preserve">Proposal </w:t>
      </w:r>
      <w:r w:rsidR="00B8002A">
        <w:rPr>
          <w:b/>
          <w:i/>
          <w:noProof/>
          <w:sz w:val="20"/>
          <w:szCs w:val="20"/>
          <w:lang w:eastAsia="x-none"/>
        </w:rPr>
        <w:t>3</w:t>
      </w:r>
      <w:r w:rsidR="00B8002A" w:rsidRPr="003676C9">
        <w:rPr>
          <w:b/>
          <w:i/>
          <w:sz w:val="20"/>
          <w:szCs w:val="20"/>
          <w:lang w:eastAsia="x-none"/>
        </w:rPr>
        <w:t>:</w:t>
      </w:r>
      <w:r w:rsidR="00B8002A">
        <w:rPr>
          <w:b/>
          <w:i/>
          <w:sz w:val="20"/>
          <w:szCs w:val="20"/>
          <w:lang w:eastAsia="x-none"/>
        </w:rPr>
        <w:t xml:space="preserve"> Delete </w:t>
      </w:r>
      <w:r w:rsidR="00B8002A" w:rsidRPr="005F0DD5">
        <w:rPr>
          <w:rFonts w:eastAsia="Malgun Gothic"/>
          <w:b/>
          <w:i/>
        </w:rPr>
        <w:t>TO</w:t>
      </w:r>
      <w:r w:rsidR="00B8002A" w:rsidRPr="005F0DD5">
        <w:rPr>
          <w:rFonts w:eastAsia="Malgun Gothic"/>
          <w:b/>
          <w:i/>
          <w:vertAlign w:val="subscript"/>
        </w:rPr>
        <w:t xml:space="preserve">k </w:t>
      </w:r>
      <w:r w:rsidR="00B8002A" w:rsidRPr="005F0DD5">
        <w:rPr>
          <w:rFonts w:eastAsia="Malgun Gothic"/>
          <w:b/>
          <w:i/>
        </w:rPr>
        <w:t>in active TCI list update requirement.</w:t>
      </w:r>
      <w:r>
        <w:fldChar w:fldCharType="end"/>
      </w:r>
    </w:p>
    <w:p w14:paraId="2E96BB97" w14:textId="704432DF" w:rsidR="00842EE0" w:rsidRDefault="00842EE0" w:rsidP="008F1284">
      <w:pPr>
        <w:pStyle w:val="1"/>
        <w:numPr>
          <w:ilvl w:val="0"/>
          <w:numId w:val="1"/>
        </w:numPr>
        <w:rPr>
          <w:rFonts w:ascii="Calibri" w:hAnsi="Calibri"/>
        </w:rPr>
      </w:pPr>
      <w:r w:rsidRPr="00842EE0">
        <w:rPr>
          <w:rFonts w:ascii="Calibri" w:hAnsi="Calibri" w:hint="eastAsia"/>
        </w:rPr>
        <w:t>Reference</w:t>
      </w:r>
    </w:p>
    <w:p w14:paraId="0FC571CC" w14:textId="30D72526" w:rsidR="002D5798"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40228C" w:rsidRPr="0040228C">
        <w:rPr>
          <w:sz w:val="20"/>
          <w:lang w:eastAsia="ko-KR"/>
        </w:rPr>
        <w:t>R4-</w:t>
      </w:r>
      <w:r w:rsidR="007B0CBB">
        <w:rPr>
          <w:sz w:val="20"/>
          <w:lang w:eastAsia="ko-KR"/>
        </w:rPr>
        <w:t>200</w:t>
      </w:r>
      <w:r w:rsidR="003F65F3">
        <w:rPr>
          <w:sz w:val="20"/>
          <w:lang w:eastAsia="ko-KR"/>
        </w:rPr>
        <w:t>8</w:t>
      </w:r>
      <w:r w:rsidR="004E1814">
        <w:rPr>
          <w:sz w:val="20"/>
          <w:lang w:eastAsia="ko-KR"/>
        </w:rPr>
        <w:t>527</w:t>
      </w:r>
      <w:r>
        <w:rPr>
          <w:sz w:val="20"/>
          <w:lang w:eastAsia="ko-KR"/>
        </w:rPr>
        <w:t>, “</w:t>
      </w:r>
      <w:r w:rsidR="004E1814" w:rsidRPr="004E1814">
        <w:rPr>
          <w:sz w:val="20"/>
          <w:lang w:eastAsia="ko-KR"/>
        </w:rPr>
        <w:t>Way Forward on Rel-15 Maintenance for Signaling Characteristics</w:t>
      </w:r>
      <w:r>
        <w:rPr>
          <w:sz w:val="20"/>
          <w:lang w:eastAsia="ko-KR"/>
        </w:rPr>
        <w:t xml:space="preserve">”, </w:t>
      </w:r>
      <w:r w:rsidR="004E1814">
        <w:rPr>
          <w:sz w:val="20"/>
          <w:lang w:eastAsia="ko-KR"/>
        </w:rPr>
        <w:t>Apple</w:t>
      </w:r>
      <w:r w:rsidR="002D5798">
        <w:rPr>
          <w:sz w:val="20"/>
          <w:lang w:eastAsia="ko-KR"/>
        </w:rPr>
        <w:t xml:space="preserve"> </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BC618" w14:textId="77777777" w:rsidR="00C71FC7" w:rsidRDefault="00C71FC7">
      <w:r>
        <w:separator/>
      </w:r>
    </w:p>
  </w:endnote>
  <w:endnote w:type="continuationSeparator" w:id="0">
    <w:p w14:paraId="3C0C78C4" w14:textId="77777777" w:rsidR="00C71FC7" w:rsidRDefault="00C7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C5A12" w14:textId="77777777" w:rsidR="00C71FC7" w:rsidRDefault="00C71FC7">
      <w:r>
        <w:separator/>
      </w:r>
    </w:p>
  </w:footnote>
  <w:footnote w:type="continuationSeparator" w:id="0">
    <w:p w14:paraId="0B6C9B8A" w14:textId="77777777" w:rsidR="00C71FC7" w:rsidRDefault="00C71F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22"/>
  </w:num>
  <w:num w:numId="3">
    <w:abstractNumId w:val="4"/>
  </w:num>
  <w:num w:numId="4">
    <w:abstractNumId w:val="2"/>
  </w:num>
  <w:num w:numId="5">
    <w:abstractNumId w:val="18"/>
  </w:num>
  <w:num w:numId="6">
    <w:abstractNumId w:val="35"/>
  </w:num>
  <w:num w:numId="7">
    <w:abstractNumId w:val="24"/>
  </w:num>
  <w:num w:numId="8">
    <w:abstractNumId w:val="38"/>
  </w:num>
  <w:num w:numId="9">
    <w:abstractNumId w:val="34"/>
  </w:num>
  <w:num w:numId="10">
    <w:abstractNumId w:val="0"/>
  </w:num>
  <w:num w:numId="11">
    <w:abstractNumId w:val="8"/>
  </w:num>
  <w:num w:numId="12">
    <w:abstractNumId w:val="36"/>
  </w:num>
  <w:num w:numId="13">
    <w:abstractNumId w:val="32"/>
  </w:num>
  <w:num w:numId="14">
    <w:abstractNumId w:val="7"/>
  </w:num>
  <w:num w:numId="15">
    <w:abstractNumId w:val="13"/>
  </w:num>
  <w:num w:numId="16">
    <w:abstractNumId w:val="33"/>
  </w:num>
  <w:num w:numId="17">
    <w:abstractNumId w:val="29"/>
  </w:num>
  <w:num w:numId="18">
    <w:abstractNumId w:val="23"/>
  </w:num>
  <w:num w:numId="19">
    <w:abstractNumId w:val="40"/>
  </w:num>
  <w:num w:numId="20">
    <w:abstractNumId w:val="20"/>
  </w:num>
  <w:num w:numId="21">
    <w:abstractNumId w:val="5"/>
  </w:num>
  <w:num w:numId="22">
    <w:abstractNumId w:val="6"/>
  </w:num>
  <w:num w:numId="23">
    <w:abstractNumId w:val="31"/>
  </w:num>
  <w:num w:numId="24">
    <w:abstractNumId w:val="12"/>
  </w:num>
  <w:num w:numId="25">
    <w:abstractNumId w:val="11"/>
  </w:num>
  <w:num w:numId="26">
    <w:abstractNumId w:val="9"/>
  </w:num>
  <w:num w:numId="27">
    <w:abstractNumId w:val="30"/>
  </w:num>
  <w:num w:numId="28">
    <w:abstractNumId w:val="14"/>
  </w:num>
  <w:num w:numId="29">
    <w:abstractNumId w:val="15"/>
  </w:num>
  <w:num w:numId="30">
    <w:abstractNumId w:val="41"/>
  </w:num>
  <w:num w:numId="31">
    <w:abstractNumId w:val="26"/>
  </w:num>
  <w:num w:numId="32">
    <w:abstractNumId w:val="26"/>
    <w:lvlOverride w:ilvl="0">
      <w:startOverride w:val="1"/>
    </w:lvlOverride>
  </w:num>
  <w:num w:numId="33">
    <w:abstractNumId w:val="39"/>
  </w:num>
  <w:num w:numId="34">
    <w:abstractNumId w:val="19"/>
  </w:num>
  <w:num w:numId="35">
    <w:abstractNumId w:val="16"/>
  </w:num>
  <w:num w:numId="36">
    <w:abstractNumId w:val="25"/>
  </w:num>
  <w:num w:numId="37">
    <w:abstractNumId w:val="27"/>
  </w:num>
  <w:num w:numId="38">
    <w:abstractNumId w:val="1"/>
  </w:num>
  <w:num w:numId="39">
    <w:abstractNumId w:val="17"/>
  </w:num>
  <w:num w:numId="40">
    <w:abstractNumId w:val="10"/>
  </w:num>
  <w:num w:numId="41">
    <w:abstractNumId w:val="21"/>
  </w:num>
  <w:num w:numId="42">
    <w:abstractNumId w:val="3"/>
    <w:lvlOverride w:ilvl="0">
      <w:startOverride w:val="1"/>
    </w:lvlOverride>
  </w:num>
  <w:num w:numId="43">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DD4"/>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16DD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16DD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3"/>
    <w:next w:val="a"/>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35ECA-DFD1-4E76-802A-1CD342283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2020-08-04T06:33:00Z</dcterms:created>
  <dcterms:modified xsi:type="dcterms:W3CDTF">2020-08-07T01:46:00Z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